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</w:rPr>
      </w:pPr>
      <w:r>
        <w:rPr>
          <w:b/>
          <w:highlight w:val="none"/>
        </w:rPr>
        <w:t xml:space="preserve">У</w:t>
      </w:r>
      <w:r>
        <w:rPr>
          <w:b/>
        </w:rPr>
        <w:t xml:space="preserve">ТВЕРЖДАЮ:</w:t>
      </w:r>
      <w:r>
        <w:rPr>
          <w:b/>
        </w:rPr>
      </w:r>
      <w:r>
        <w:rPr>
          <w:b/>
        </w:rPr>
      </w:r>
    </w:p>
    <w:p>
      <w:pPr>
        <w:jc w:val="right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right"/>
      </w:pPr>
      <w:r>
        <w:t xml:space="preserve">Начальник управления эксплуатации и ТОиР</w:t>
      </w:r>
      <w:r/>
    </w:p>
    <w:p>
      <w:pPr>
        <w:jc w:val="right"/>
      </w:pPr>
      <w:r>
        <w:t xml:space="preserve">филиала ПАО «Россети Урал» - «Пермэнерго»</w:t>
      </w:r>
      <w:r/>
    </w:p>
    <w:p>
      <w:pPr>
        <w:jc w:val="right"/>
      </w:pPr>
      <w:r/>
      <w:r/>
    </w:p>
    <w:p>
      <w:pPr>
        <w:jc w:val="right"/>
      </w:pPr>
      <w:r>
        <w:t xml:space="preserve">________________ М.А. Кулаков</w:t>
      </w:r>
      <w:r/>
    </w:p>
    <w:p>
      <w:pPr>
        <w:jc w:val="right"/>
      </w:pPr>
      <w:r>
        <w:t xml:space="preserve"> </w:t>
      </w:r>
      <w:r/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t xml:space="preserve">                                                                                                   «_____» ________________202</w:t>
      </w:r>
      <w:r>
        <w:t xml:space="preserve">6</w:t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2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45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5"/>
        <w:jc w:val="center"/>
        <w:rPr>
          <w:b/>
          <w:highlight w:val="none"/>
          <w14:ligatures w14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участниками </w:t>
      </w:r>
      <w:r>
        <w:rPr>
          <w:b/>
          <w:bCs/>
          <w:highlight w:val="none"/>
        </w:rPr>
        <w:t xml:space="preserve">которого могут быть </w:t>
      </w:r>
      <w:r>
        <w:rPr>
          <w:b/>
          <w:bCs/>
          <w:highlight w:val="none"/>
        </w:rPr>
        <w:t xml:space="preserve">любые лица</w:t>
      </w:r>
      <w:r>
        <w:rPr>
          <w:b/>
          <w:highlight w:val="none"/>
          <w14:ligatures w14:val="none"/>
        </w:rPr>
      </w:r>
      <w:r>
        <w:rPr>
          <w:b/>
          <w:highlight w:val="none"/>
          <w14:ligatures w14:val="none"/>
        </w:rPr>
      </w:r>
    </w:p>
    <w:p>
      <w:pPr>
        <w:pStyle w:val="1045"/>
        <w:jc w:val="center"/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  <w:t xml:space="preserve">на </w:t>
      </w:r>
      <w:r>
        <w:rPr>
          <w:b/>
          <w:bCs/>
          <w:highlight w:val="none"/>
        </w:rPr>
        <w:t xml:space="preserve">право заключения договора</w:t>
      </w:r>
      <w:r>
        <w:rPr>
          <w:b/>
          <w:bCs/>
          <w:highlight w:val="none"/>
        </w:rPr>
        <w:t xml:space="preserve"> на поставку лент противоскользящих (ПЭ)</w:t>
      </w: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</w:rPr>
      </w:pPr>
      <w:r>
        <w:rPr>
          <w:b/>
        </w:rPr>
        <w:t xml:space="preserve">г. </w:t>
      </w:r>
      <w:r>
        <w:rPr>
          <w:b/>
        </w:rPr>
        <w:t xml:space="preserve">Пермь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 </w:t>
      </w:r>
      <w:r>
        <w:rPr>
          <w:b/>
        </w:rPr>
        <w:t xml:space="preserve">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2"/>
        <w:numPr>
          <w:ilvl w:val="0"/>
          <w:numId w:val="20"/>
        </w:numPr>
        <w:ind w:left="0" w:firstLine="0"/>
        <w:jc w:val="both"/>
        <w:keepLines w:val="0"/>
        <w:keepNext w:val="0"/>
        <w:spacing w:before="0"/>
        <w:tabs>
          <w:tab w:val="left" w:pos="284" w:leader="none"/>
        </w:tabs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Общие сведения о предмете 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сравнения цен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 в электронной форме, участниками которого могут быть 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любые лица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 (далее - закупка):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</w:r>
    </w:p>
    <w:p>
      <w:pPr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42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 лент противоскользящих</w:t>
      </w:r>
      <w:r>
        <w:rPr>
          <w:highlight w:val="none"/>
        </w:rPr>
        <w:t xml:space="preserve"> (ПЭ).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  <w:t xml:space="preserve">План закупки на 2026 год, закупка/лот</w:t>
      </w:r>
      <w:r>
        <w:rPr>
          <w:highlight w:val="none"/>
        </w:rPr>
        <w:t xml:space="preserve"> (</w:t>
      </w:r>
      <w:r>
        <w:rPr>
          <w:highlight w:val="none"/>
          <w:lang w:val="en-US"/>
        </w:rPr>
        <w:t xml:space="preserve">ID</w:t>
      </w:r>
      <w:r>
        <w:rPr>
          <w:highlight w:val="none"/>
        </w:rPr>
        <w:t xml:space="preserve"> </w:t>
      </w:r>
      <w:r>
        <w:rPr>
          <w:highlight w:val="none"/>
        </w:rPr>
        <w:t xml:space="preserve">заявки)</w:t>
      </w:r>
      <w:r>
        <w:rPr>
          <w:highlight w:val="none"/>
        </w:rPr>
        <w:t xml:space="preserve"> № 59868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cyan"/>
        </w:rPr>
      </w:pPr>
      <w:r>
        <w:rPr>
          <w:b w:val="0"/>
          <w:bCs w:val="0"/>
          <w:highlight w:val="cyan"/>
        </w:rPr>
      </w:r>
      <w:r>
        <w:rPr>
          <w:b w:val="0"/>
          <w:bCs w:val="0"/>
          <w:highlight w:val="cyan"/>
        </w:rPr>
      </w:r>
      <w:r>
        <w:rPr>
          <w:b w:val="0"/>
          <w:bCs w:val="0"/>
          <w:highlight w:val="cyan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b/>
          <w:highlight w:val="none"/>
        </w:rPr>
        <w:t xml:space="preserve"> </w:t>
      </w:r>
      <w:r>
        <w:t xml:space="preserve">ПАО «Россети Урал»-филиал «Пермэнерго».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поставки</w:t>
      </w:r>
      <w:r>
        <w:rPr>
          <w:b/>
          <w:highlight w:val="none"/>
        </w:rPr>
        <w:t xml:space="preserve"> </w:t>
      </w:r>
      <w:r>
        <w:rPr>
          <w:highlight w:val="none"/>
        </w:rPr>
        <w:t xml:space="preserve">терр</w:t>
      </w:r>
      <w:r>
        <w:t xml:space="preserve">итория Пермского края</w:t>
      </w:r>
      <w:r>
        <w:t xml:space="preserve">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42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66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42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</w:r>
      <w:r>
        <w:t xml:space="preserve">Потребность 1 квартала 2026г. </w:t>
      </w:r>
      <w:r>
        <w:t xml:space="preserve">в течение 30 календарных дней с момента заключения договора</w:t>
      </w:r>
      <w: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</w:t>
      </w:r>
      <w:r>
        <w:rPr>
          <w:highlight w:val="none"/>
        </w:rPr>
        <w:t xml:space="preserve"> предложении (Приложение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59868 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Поставка лент противоскользящих (ПЭ)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49 904,10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22.29.21.000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30</w:t>
      </w:r>
      <w:r>
        <w:rPr>
          <w:highlight w:val="none"/>
        </w:rPr>
        <w:t xml:space="preserve"> (</w:t>
      </w:r>
      <w:r>
        <w:rPr>
          <w:highlight w:val="none"/>
        </w:rPr>
        <w:t xml:space="preserve">тридцати</w:t>
      </w:r>
      <w:r>
        <w:rPr>
          <w:highlight w:val="none"/>
        </w:rPr>
        <w:t xml:space="preserve">) </w:t>
      </w:r>
      <w:bookmarkStart w:id="4" w:name="_GoBack"/>
      <w:r>
        <w:rPr>
          <w:highlight w:val="none"/>
        </w:rPr>
      </w:r>
      <w:bookmarkEnd w:id="4"/>
      <w:r>
        <w:rPr>
          <w:highlight w:val="none"/>
        </w:rPr>
        <w:t xml:space="preserve">рабочих </w:t>
      </w:r>
      <w:r>
        <w:rPr>
          <w:highlight w:val="none"/>
        </w:rPr>
        <w:t xml:space="preserve">дней</w:t>
      </w:r>
      <w:r>
        <w:rPr>
          <w:rStyle w:val="1066"/>
          <w:highlight w:val="none"/>
        </w:rPr>
        <w:footnoteReference w:id="3"/>
      </w:r>
      <w:r>
        <w:rPr>
          <w:highlight w:val="none"/>
        </w:rPr>
        <w:t xml:space="preserve">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 2.4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0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>
        <w:rPr>
          <w:b/>
          <w:sz w:val="24"/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2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проду</w:t>
      </w:r>
      <w:r>
        <w:rPr>
          <w:highlight w:val="none"/>
        </w:rPr>
        <w:t xml:space="preserve">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 4.3.4.</w:t>
      </w:r>
      <w:r>
        <w:rPr>
          <w:highlight w:val="none"/>
        </w:rPr>
        <w:t xml:space="preserve"> 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</w:t>
      </w:r>
      <w:r>
        <w:rPr>
          <w:highlight w:val="none"/>
        </w:rPr>
        <w:t xml:space="preserve"> ТЗ)</w:t>
      </w:r>
      <w:r>
        <w:rPr>
          <w:highlight w:val="none"/>
          <w:vertAlign w:val="superscript"/>
        </w:rPr>
        <w:t xml:space="preserve">[</w:t>
      </w:r>
      <w:r>
        <w:rPr>
          <w:rStyle w:val="1066"/>
          <w:highlight w:val="none"/>
        </w:rPr>
        <w:footnoteReference w:id="4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Участник имеет право предложить эквивалент заказываемой продукции, соответствующий </w:t>
      </w:r>
      <w:r>
        <w:rPr>
          <w:highlight w:val="none"/>
        </w:rPr>
        <w:t xml:space="preserve">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 их наличии)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none"/>
        </w:rPr>
        <w:t xml:space="preserve">Решение о согласовании/не согласовании замены 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1 кв.2026г.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color w:val="000000" w:themeColor="text1"/>
          <w:highlight w:val="none"/>
        </w:rPr>
        <w:t xml:space="preserve">Технические требования к продукции: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t xml:space="preserve">Гарантийный срок на поставляемую продукцию должен составлять не менее 1 (одного) года с момента поставки продукции на склад Грузополучателя</w:t>
      </w:r>
      <w: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rFonts w:eastAsiaTheme="minorHAnsi"/>
          <w:highlight w:val="none"/>
        </w:rPr>
      </w:pPr>
      <w:r>
        <w:rPr>
          <w:rFonts w:eastAsiaTheme="minorHAnsi"/>
          <w:highlight w:val="none"/>
          <w:lang w:eastAsia="en-US"/>
        </w:rPr>
        <w:t xml:space="preserve">1.10.7. В отношении продукции, </w:t>
      </w:r>
      <w:r>
        <w:rPr>
          <w:highlight w:val="none"/>
        </w:rPr>
        <w:t xml:space="preserve">указанной в приложении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  к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а именно </w:t>
      </w:r>
      <w:r>
        <w:rPr>
          <w:highlight w:val="none"/>
        </w:rPr>
        <w:t xml:space="preserve">позиции № 1</w:t>
      </w:r>
      <w:r>
        <w:rPr>
          <w:rStyle w:val="1035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</w:t>
      </w:r>
      <w:r>
        <w:rPr>
          <w:rFonts w:eastAsiaTheme="minorHAnsi"/>
          <w:b/>
          <w:highlight w:val="none"/>
          <w:lang w:eastAsia="en-US"/>
        </w:rPr>
        <w:t xml:space="preserve">ограничение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ind w:left="450" w:firstLine="0"/>
        <w:jc w:val="both"/>
        <w:tabs>
          <w:tab w:val="left" w:pos="993" w:leader="none"/>
        </w:tabs>
        <w:rPr>
          <w:rFonts w:eastAsiaTheme="minorHAnsi"/>
          <w:highlight w:val="none"/>
        </w:rPr>
      </w:pP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52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8" w:name="_Toc439063131"/>
      <w:r>
        <w:rPr>
          <w:highlight w:val="none"/>
        </w:rPr>
      </w:r>
      <w:bookmarkStart w:id="9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3"/>
        <w:numPr>
          <w:ilvl w:val="1"/>
          <w:numId w:val="20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54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</w:t>
      </w:r>
      <w:r>
        <w:rPr>
          <w:highlight w:val="none"/>
          <w:lang w:eastAsia="ja-JP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</w:t>
      </w:r>
      <w:r>
        <w:rPr>
          <w:highlight w:val="none"/>
        </w:rPr>
        <w:t xml:space="preserve">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54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54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highlight w:val="none"/>
        </w:rPr>
        <w:t xml:space="preserve">Участниками закупки могут быть любые лица, указанные в части 5 статьи 3 Федерального закона "О закупках товаров, работ, услуг отдельными видами юридических лиц", в т.ч. субъекты малого и среднего предпринимательства.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54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4"/>
        <w:numPr>
          <w:ilvl w:val="1"/>
          <w:numId w:val="2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соответствия технической части (пункты 1 и 2 под таблицей со знаком «*»).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highlight w:val="none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highlight w:val="none"/>
          <w:lang w:val="ru-RU"/>
        </w:rPr>
        <w:t xml:space="preserve">В столбце 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none"/>
          <w:lang w:val="ru-RU"/>
        </w:rPr>
        <w:t xml:space="preserve">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к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ы</w:t>
      </w:r>
      <w:r>
        <w:rPr>
          <w:highlight w:val="none"/>
          <w:lang w:val="ru-RU"/>
        </w:rPr>
        <w:t xml:space="preserve">в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0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б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ц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п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 Приложения №4 к Техническому заданию. 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highlight w:val="none"/>
          <w:lang w:eastAsia="en-US"/>
        </w:rPr>
        <w:t xml:space="preserve">В столбце «Наименование производителя, ИНН» указывается только 1 (один) </w:t>
      </w:r>
      <w:r>
        <w:rPr>
          <w:rFonts w:eastAsia="Calibri"/>
          <w:highlight w:val="none"/>
          <w:lang w:eastAsia="en-US"/>
        </w:rPr>
        <w:t xml:space="preserve">производите</w:t>
      </w:r>
      <w:r>
        <w:rPr>
          <w:rFonts w:eastAsia="Calibri"/>
          <w:highlight w:val="none"/>
          <w:lang w:eastAsia="en-US"/>
        </w:rPr>
        <w:t xml:space="preserve">ль продукции.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  <w:lang w:eastAsia="en-US"/>
        </w:rPr>
        <w:t xml:space="preserve">В столбце «ГОСТ, технический регламент, Техусловия (ТУ) на изготовление» Участником указывается конкретный «ГОСТ, технический регламент, Технические условия (ТУ) на изготовление» по каждой номенклатурной позиции.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В ц</w:t>
      </w:r>
      <w:r>
        <w:rPr>
          <w:highlight w:val="none"/>
        </w:rPr>
        <w:t xml:space="preserve">елях подтверждения страны происхождения товара</w:t>
      </w:r>
      <w:r>
        <w:rPr>
          <w:highlight w:val="none"/>
        </w:rPr>
        <w:t xml:space="preserve"> в соответствии с п.1.10.7 Технического задания</w:t>
      </w:r>
      <w:r>
        <w:rPr>
          <w:highlight w:val="none"/>
        </w:rPr>
        <w:t xml:space="preserve"> Участник в </w:t>
      </w:r>
      <w:r>
        <w:rPr>
          <w:highlight w:val="none"/>
        </w:rPr>
        <w:t xml:space="preserve">Приложении </w:t>
      </w:r>
      <w:r>
        <w:rPr>
          <w:rFonts w:eastAsia="Calibri"/>
          <w:szCs w:val="24"/>
          <w:highlight w:val="none"/>
          <w:lang w:eastAsia="en-US"/>
        </w:rPr>
        <w:t xml:space="preserve">№4 к Техническому заданию</w:t>
      </w:r>
      <w:r>
        <w:rPr>
          <w:highlight w:val="none"/>
        </w:rPr>
        <w:t xml:space="preserve"> заполняет столбец 12* «</w:t>
      </w:r>
      <w:r>
        <w:rPr>
          <w:highlight w:val="none"/>
        </w:rPr>
        <w:t xml:space="preserve">Включено в Реестр промышленной продукции/реестр промышленных товаров государств - членов ЕАЭС (да (указать № реестровой записи) / нет)</w:t>
      </w:r>
      <w:r>
        <w:rPr>
          <w:highlight w:val="none"/>
        </w:rPr>
        <w:t xml:space="preserve">» по каждой номенклатурной позиции</w:t>
      </w:r>
      <w:r>
        <w:rPr>
          <w:highlight w:val="none"/>
        </w:rPr>
        <w:t xml:space="preserve"> с  обязательным указанием в столбце 13* </w:t>
      </w:r>
      <w:r>
        <w:rPr>
          <w:highlight w:val="none"/>
        </w:rPr>
        <w:t xml:space="preserve">информации о совокупном количестве баллов / об уровне радиоэлектронной продукции из соответствующего реестра </w:t>
      </w:r>
      <w:r>
        <w:rPr>
          <w:highlight w:val="none"/>
        </w:rPr>
        <w:t xml:space="preserve">(при их наличии).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В с</w:t>
      </w:r>
      <w:r>
        <w:rPr>
          <w:rFonts w:eastAsia="Calibri"/>
          <w:szCs w:val="24"/>
          <w:highlight w:val="none"/>
        </w:rPr>
        <w:t xml:space="preserve">лучае непредоставления / не полного предоставления / некорректного предоставления / предоставления недостоверных сведений в столбцах 12* и 13*, заявка такого Участника приравнивается к заявке на участие в закупке, в которой содержится предложение о поста</w:t>
      </w:r>
      <w:r>
        <w:rPr>
          <w:rFonts w:eastAsia="Calibri"/>
          <w:szCs w:val="24"/>
          <w:highlight w:val="none"/>
        </w:rPr>
        <w:t xml:space="preserve">вке товара, происходящего из иностранного государства. </w:t>
      </w:r>
      <w:r>
        <w:rPr>
          <w:highlight w:val="none"/>
        </w:rPr>
        <w:t xml:space="preserve">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highlight w:val="none"/>
          <w:lang w:eastAsia="en-US"/>
        </w:rPr>
        <w:t xml:space="preserve">В случае нарушения требований инструкции по заполнению (пп.3.1.1-</w:t>
      </w:r>
      <w:r>
        <w:rPr>
          <w:rFonts w:eastAsia="Calibri"/>
          <w:highlight w:val="none"/>
          <w:lang w:eastAsia="en-US"/>
        </w:rPr>
        <w:t xml:space="preserve">3.1.</w:t>
      </w:r>
      <w:r>
        <w:rPr>
          <w:rFonts w:eastAsia="Calibri"/>
          <w:highlight w:val="none"/>
          <w:lang w:eastAsia="en-US"/>
        </w:rPr>
        <w:t xml:space="preserve">10</w:t>
      </w:r>
      <w:r>
        <w:rPr>
          <w:rFonts w:eastAsia="Calibri"/>
          <w:highlight w:val="none"/>
          <w:lang w:eastAsia="en-US"/>
        </w:rPr>
        <w:t xml:space="preserve"> настоящего приложения)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highlight w:val="none"/>
          <w:lang w:eastAsia="en-US"/>
        </w:rPr>
        <w:t xml:space="preserve">Информация, указанная в Приложении № 4 к Техническому заданию </w:t>
      </w:r>
      <w:r>
        <w:rPr>
          <w:rFonts w:eastAsia="Calibri"/>
          <w:highlight w:val="none"/>
          <w:lang w:eastAsia="en-US"/>
        </w:rPr>
        <w:t xml:space="preserve">изменен</w:t>
      </w:r>
      <w:r>
        <w:rPr>
          <w:rFonts w:eastAsia="Calibri"/>
          <w:highlight w:val="none"/>
          <w:lang w:eastAsia="en-US"/>
        </w:rPr>
        <w:t xml:space="preserve">ию</w:t>
      </w:r>
      <w:r>
        <w:rPr>
          <w:rFonts w:eastAsia="Calibri"/>
          <w:highlight w:val="none"/>
          <w:lang w:eastAsia="en-US"/>
        </w:rPr>
        <w:t xml:space="preserve"> не подлежит.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highlight w:val="none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highlight w:val="none"/>
          <w:lang w:eastAsia="en-US"/>
        </w:rPr>
        <w:t xml:space="preserve"> 4 к Техническому заданию</w:t>
      </w:r>
      <w:r>
        <w:rPr>
          <w:highlight w:val="none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0"/>
          <w:numId w:val="0"/>
        </w:numPr>
        <w:widowControl w:val="off"/>
        <w:tabs>
          <w:tab w:val="left" w:pos="0" w:leader="none"/>
          <w:tab w:val="left" w:pos="142" w:leader="none"/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numPr>
          <w:ilvl w:val="0"/>
          <w:numId w:val="38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6"/>
        <w:numPr>
          <w:ilvl w:val="0"/>
          <w:numId w:val="38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пп</w:t>
      </w:r>
      <w:r>
        <w:rPr>
          <w:rFonts w:eastAsia="Calibri"/>
          <w:sz w:val="24"/>
          <w:szCs w:val="24"/>
          <w:highlight w:val="none"/>
          <w:lang w:eastAsia="en-US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пп</w:t>
      </w:r>
      <w:r>
        <w:rPr>
          <w:rFonts w:eastAsia="Calibri"/>
          <w:sz w:val="24"/>
          <w:szCs w:val="24"/>
          <w:highlight w:val="none"/>
          <w:lang w:eastAsia="en-US"/>
        </w:rPr>
        <w:t xml:space="preserve">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6"/>
        <w:numPr>
          <w:ilvl w:val="0"/>
          <w:numId w:val="38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2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8"/>
      <w:r>
        <w:rPr>
          <w:highlight w:val="none"/>
        </w:rPr>
      </w:r>
      <w:bookmarkEnd w:id="9"/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bookmarkStart w:id="11" w:name="_Toc8120155"/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1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2" w:name="_Toc536483690"/>
      <w:r>
        <w:rPr>
          <w:highlight w:val="none"/>
        </w:rPr>
      </w:r>
      <w:bookmarkStart w:id="13" w:name="_Toc536628829"/>
      <w:r>
        <w:rPr>
          <w:highlight w:val="none"/>
        </w:rPr>
      </w:r>
      <w:bookmarkStart w:id="14" w:name="_Toc2757058"/>
      <w:r>
        <w:rPr>
          <w:highlight w:val="none"/>
        </w:rPr>
      </w:r>
      <w:bookmarkEnd w:id="12"/>
      <w:r/>
      <w:bookmarkEnd w:id="13"/>
      <w:r/>
      <w:bookmarkEnd w:id="14"/>
      <w:r>
        <w:rPr>
          <w:i/>
          <w:highlight w:val="none"/>
        </w:rPr>
      </w:r>
      <w:r>
        <w:rPr>
          <w:i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highlight w:val="none"/>
        </w:rPr>
        <w:t xml:space="preserve">Техническое задани</w:t>
      </w:r>
      <w:r>
        <w:rPr>
          <w:b w:val="0"/>
          <w:bCs w:val="0"/>
          <w:highlight w:val="none"/>
        </w:rPr>
        <w:t xml:space="preserve">е 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highlight w:val="none"/>
        </w:rPr>
      </w:pPr>
      <w:r>
        <w:rPr>
          <w:b w:val="0"/>
          <w:bCs w:val="0"/>
          <w:highlight w:val="none"/>
        </w:rPr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Специалист УЛиМТО 1 категории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Халикова Н.В.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6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</w:t>
      </w:r>
      <w:r>
        <w:rPr>
          <w:sz w:val="28"/>
          <w:szCs w:val="28"/>
          <w:highlight w:val="none"/>
        </w:rPr>
        <w:t xml:space="preserve">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0"/>
          <w:szCs w:val="20"/>
          <w:highlight w:val="none"/>
        </w:rPr>
      </w:pPr>
      <w:r>
        <w:rPr>
          <w:sz w:val="28"/>
          <w:szCs w:val="28"/>
          <w:highlight w:val="none"/>
        </w:rPr>
        <w:t xml:space="preserve">Поставка лент противоскользящих </w:t>
      </w:r>
      <w:r>
        <w:rPr>
          <w:sz w:val="28"/>
          <w:szCs w:val="28"/>
          <w:highlight w:val="none"/>
        </w:rPr>
        <w:t xml:space="preserve">(ПЭ)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  <w:highlight w:val="none"/>
        </w:rPr>
        <w:outlineLvl w:val="1"/>
      </w:pPr>
      <w:r>
        <w:rPr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36"/>
              <w:rPr>
                <w:sz w:val="28"/>
                <w:szCs w:val="28"/>
                <w:highlight w:val="none"/>
                <w14:ligatures w14:val="none"/>
              </w:rPr>
            </w:pPr>
            <w:r>
              <w:rPr>
                <w:sz w:val="28"/>
                <w:szCs w:val="28"/>
                <w:highlight w:val="none"/>
              </w:rPr>
            </w:r>
            <w:bookmarkStart w:id="18" w:name="l55"/>
            <w:r>
              <w:rPr>
                <w:sz w:val="28"/>
                <w:szCs w:val="28"/>
                <w:highlight w:val="none"/>
              </w:rPr>
            </w:r>
            <w:bookmarkEnd w:id="18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договора, руб. с НДС</w:t>
            </w:r>
            <w:r>
              <w:rPr>
                <w:sz w:val="28"/>
                <w:szCs w:val="28"/>
                <w:highlight w:val="none"/>
                <w14:ligatures w14:val="none"/>
              </w:rPr>
            </w:r>
            <w:r>
              <w:rPr>
                <w:sz w:val="28"/>
                <w:szCs w:val="28"/>
                <w:highlight w:val="none"/>
                <w14:ligatures w14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36"/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49 904,10 с НДС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>
            <w:pPr>
              <w:pStyle w:val="1036"/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36"/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Нормативный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>
            <w:pPr>
              <w:pStyle w:val="1036"/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36"/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ЕСЗ (Единый Стандарт Закупок)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>
            <w:pPr>
              <w:pStyle w:val="1036"/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36"/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Приложение №1.1. к ТЗ – Расчет НМЦ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>
            <w:pPr>
              <w:pStyle w:val="1036"/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8</w:t>
    </w:r>
    <w:r>
      <w:fldChar w:fldCharType="end"/>
    </w:r>
    <w:r/>
  </w:p>
  <w:p>
    <w:pPr>
      <w:pStyle w:val="104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  <w:rPr>
        <w:rStyle w:val="1048"/>
      </w:rPr>
      <w:framePr w:wrap="around" w:vAnchor="text" w:hAnchor="margin" w:xAlign="center" w:y="1"/>
    </w:pPr>
    <w:r>
      <w:rPr>
        <w:rStyle w:val="1048"/>
      </w:rPr>
      <w:fldChar w:fldCharType="begin"/>
    </w:r>
    <w:r>
      <w:rPr>
        <w:rStyle w:val="1048"/>
      </w:rPr>
      <w:instrText xml:space="preserve">PAGE  </w:instrText>
    </w:r>
    <w:r>
      <w:rPr>
        <w:rStyle w:val="1048"/>
      </w:rPr>
      <w:fldChar w:fldCharType="end"/>
    </w:r>
    <w:r>
      <w:rPr>
        <w:rStyle w:val="1048"/>
      </w:rPr>
    </w:r>
    <w:r>
      <w:rPr>
        <w:rStyle w:val="1048"/>
      </w:rPr>
    </w:r>
  </w:p>
  <w:p>
    <w:pPr>
      <w:pStyle w:val="104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66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поставки полностью соответствует указанному в Приложении №4 к Техническому заданию, в том числе в части указания промежуточных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p>
      <w:pPr>
        <w:pStyle w:val="1064"/>
      </w:pPr>
      <w:r/>
      <w:r/>
    </w:p>
  </w:footnote>
  <w:footnote w:id="3">
    <w:p>
      <w:pPr>
        <w:pStyle w:val="1064"/>
        <w:jc w:val="both"/>
      </w:pPr>
      <w:r>
        <w:rPr>
          <w:rStyle w:val="1066"/>
        </w:rPr>
        <w:footnoteRef/>
      </w:r>
      <w:r>
        <w:t xml:space="preserve"> В</w:t>
      </w:r>
      <w:r>
        <w:t xml:space="preserve"> случае заключения договора по результатам закупки с субъектом малого и среднего предпринимательства максимальный срок оплаты должен составлять не более 7 (семи) рабочих дней.</w:t>
      </w:r>
      <w:r/>
    </w:p>
    <w:p>
      <w:pPr>
        <w:pStyle w:val="1064"/>
      </w:pPr>
      <w:r/>
      <w:r/>
    </w:p>
  </w:footnote>
  <w:footnote w:id="4">
    <w:p>
      <w:pPr>
        <w:pStyle w:val="1064"/>
        <w:jc w:val="both"/>
        <w:rPr>
          <w:sz w:val="18"/>
          <w:szCs w:val="18"/>
        </w:rPr>
      </w:pPr>
      <w:r>
        <w:rPr>
          <w:rStyle w:val="1066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43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43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64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55"/>
    <w:lvl w:ilvl="0">
      <w:start w:val="1"/>
      <w:numFmt w:val="decimal"/>
      <w:pStyle w:val="1052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53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54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56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57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58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59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5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3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54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5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8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5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5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53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5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3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54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  <w:sz w:val="24"/>
        </w:rPr>
      </w:lvl>
    </w:lvlOverride>
    <w:lvlOverride w:ilvl="3">
      <w:lvl w:ilvl="3">
        <w:start w:val="1"/>
        <w:numFmt w:val="decimal"/>
        <w:pStyle w:val="105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8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5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5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3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54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pStyle w:val="105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8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5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</w:num>
  <w:num w:numId="45">
    <w:abstractNumId w:val="40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6">
    <w:abstractNumId w:val="41"/>
  </w:num>
  <w:num w:numId="47">
    <w:abstractNumId w:val="42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2411" w:hanging="567"/>
        </w:pPr>
        <w:rPr>
          <w:rFonts w:hint="default"/>
          <w:b w:val="0"/>
          <w:i w:val="0"/>
          <w:color w:val="000000" w:themeColor="text1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1">
    <w:name w:val="Heading 1 Char"/>
    <w:basedOn w:val="1023"/>
    <w:link w:val="1019"/>
    <w:uiPriority w:val="9"/>
    <w:rPr>
      <w:rFonts w:ascii="Arial" w:hAnsi="Arial" w:eastAsia="Arial" w:cs="Arial"/>
      <w:sz w:val="40"/>
      <w:szCs w:val="40"/>
    </w:rPr>
  </w:style>
  <w:style w:type="character" w:styleId="852">
    <w:name w:val="Heading 2 Char"/>
    <w:basedOn w:val="1023"/>
    <w:link w:val="1020"/>
    <w:uiPriority w:val="9"/>
    <w:rPr>
      <w:rFonts w:ascii="Arial" w:hAnsi="Arial" w:eastAsia="Arial" w:cs="Arial"/>
      <w:sz w:val="34"/>
    </w:rPr>
  </w:style>
  <w:style w:type="character" w:styleId="853">
    <w:name w:val="Heading 3 Char"/>
    <w:basedOn w:val="1023"/>
    <w:link w:val="1021"/>
    <w:uiPriority w:val="9"/>
    <w:rPr>
      <w:rFonts w:ascii="Arial" w:hAnsi="Arial" w:eastAsia="Arial" w:cs="Arial"/>
      <w:sz w:val="30"/>
      <w:szCs w:val="30"/>
    </w:rPr>
  </w:style>
  <w:style w:type="paragraph" w:styleId="854">
    <w:name w:val="Heading 4"/>
    <w:basedOn w:val="1018"/>
    <w:next w:val="1018"/>
    <w:link w:val="8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55">
    <w:name w:val="Heading 4 Char"/>
    <w:basedOn w:val="1023"/>
    <w:link w:val="854"/>
    <w:uiPriority w:val="9"/>
    <w:rPr>
      <w:rFonts w:ascii="Arial" w:hAnsi="Arial" w:eastAsia="Arial" w:cs="Arial"/>
      <w:b/>
      <w:bCs/>
      <w:sz w:val="26"/>
      <w:szCs w:val="26"/>
    </w:rPr>
  </w:style>
  <w:style w:type="character" w:styleId="856">
    <w:name w:val="Heading 5 Char"/>
    <w:basedOn w:val="1023"/>
    <w:link w:val="1022"/>
    <w:uiPriority w:val="9"/>
    <w:rPr>
      <w:rFonts w:ascii="Arial" w:hAnsi="Arial" w:eastAsia="Arial" w:cs="Arial"/>
      <w:b/>
      <w:bCs/>
      <w:sz w:val="24"/>
      <w:szCs w:val="24"/>
    </w:rPr>
  </w:style>
  <w:style w:type="paragraph" w:styleId="857">
    <w:name w:val="Heading 6"/>
    <w:basedOn w:val="1018"/>
    <w:next w:val="1018"/>
    <w:link w:val="85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58">
    <w:name w:val="Heading 6 Char"/>
    <w:basedOn w:val="1023"/>
    <w:link w:val="857"/>
    <w:uiPriority w:val="9"/>
    <w:rPr>
      <w:rFonts w:ascii="Arial" w:hAnsi="Arial" w:eastAsia="Arial" w:cs="Arial"/>
      <w:b/>
      <w:bCs/>
      <w:sz w:val="22"/>
      <w:szCs w:val="22"/>
    </w:rPr>
  </w:style>
  <w:style w:type="paragraph" w:styleId="859">
    <w:name w:val="Heading 7"/>
    <w:basedOn w:val="1018"/>
    <w:next w:val="1018"/>
    <w:link w:val="86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0">
    <w:name w:val="Heading 7 Char"/>
    <w:basedOn w:val="1023"/>
    <w:link w:val="85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1">
    <w:name w:val="Heading 8"/>
    <w:basedOn w:val="1018"/>
    <w:next w:val="1018"/>
    <w:link w:val="8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2">
    <w:name w:val="Heading 8 Char"/>
    <w:basedOn w:val="1023"/>
    <w:link w:val="861"/>
    <w:uiPriority w:val="9"/>
    <w:rPr>
      <w:rFonts w:ascii="Arial" w:hAnsi="Arial" w:eastAsia="Arial" w:cs="Arial"/>
      <w:i/>
      <w:iCs/>
      <w:sz w:val="22"/>
      <w:szCs w:val="22"/>
    </w:rPr>
  </w:style>
  <w:style w:type="paragraph" w:styleId="863">
    <w:name w:val="Heading 9"/>
    <w:basedOn w:val="1018"/>
    <w:next w:val="1018"/>
    <w:link w:val="8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64">
    <w:name w:val="Heading 9 Char"/>
    <w:basedOn w:val="1023"/>
    <w:link w:val="863"/>
    <w:uiPriority w:val="9"/>
    <w:rPr>
      <w:rFonts w:ascii="Arial" w:hAnsi="Arial" w:eastAsia="Arial" w:cs="Arial"/>
      <w:i/>
      <w:iCs/>
      <w:sz w:val="21"/>
      <w:szCs w:val="21"/>
    </w:rPr>
  </w:style>
  <w:style w:type="character" w:styleId="865">
    <w:name w:val="Title Char"/>
    <w:basedOn w:val="1023"/>
    <w:link w:val="1030"/>
    <w:uiPriority w:val="10"/>
    <w:rPr>
      <w:sz w:val="48"/>
      <w:szCs w:val="48"/>
    </w:rPr>
  </w:style>
  <w:style w:type="paragraph" w:styleId="866">
    <w:name w:val="Subtitle"/>
    <w:basedOn w:val="1018"/>
    <w:next w:val="1018"/>
    <w:link w:val="867"/>
    <w:uiPriority w:val="11"/>
    <w:qFormat/>
    <w:pPr>
      <w:spacing w:before="200" w:after="200"/>
    </w:pPr>
    <w:rPr>
      <w:sz w:val="24"/>
      <w:szCs w:val="24"/>
    </w:rPr>
  </w:style>
  <w:style w:type="character" w:styleId="867">
    <w:name w:val="Subtitle Char"/>
    <w:basedOn w:val="1023"/>
    <w:link w:val="866"/>
    <w:uiPriority w:val="11"/>
    <w:rPr>
      <w:sz w:val="24"/>
      <w:szCs w:val="24"/>
    </w:rPr>
  </w:style>
  <w:style w:type="paragraph" w:styleId="868">
    <w:name w:val="Quote"/>
    <w:basedOn w:val="1018"/>
    <w:next w:val="1018"/>
    <w:link w:val="869"/>
    <w:uiPriority w:val="29"/>
    <w:qFormat/>
    <w:pPr>
      <w:ind w:left="720" w:right="720"/>
    </w:pPr>
    <w:rPr>
      <w:i/>
    </w:rPr>
  </w:style>
  <w:style w:type="character" w:styleId="869">
    <w:name w:val="Quote Char"/>
    <w:link w:val="868"/>
    <w:uiPriority w:val="29"/>
    <w:rPr>
      <w:i/>
    </w:rPr>
  </w:style>
  <w:style w:type="paragraph" w:styleId="870">
    <w:name w:val="Intense Quote"/>
    <w:basedOn w:val="1018"/>
    <w:next w:val="1018"/>
    <w:link w:val="87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1">
    <w:name w:val="Intense Quote Char"/>
    <w:link w:val="870"/>
    <w:uiPriority w:val="30"/>
    <w:rPr>
      <w:i/>
    </w:rPr>
  </w:style>
  <w:style w:type="paragraph" w:styleId="872">
    <w:name w:val="Header"/>
    <w:basedOn w:val="1018"/>
    <w:link w:val="87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3">
    <w:name w:val="Header Char"/>
    <w:basedOn w:val="1023"/>
    <w:link w:val="872"/>
    <w:uiPriority w:val="99"/>
  </w:style>
  <w:style w:type="character" w:styleId="874">
    <w:name w:val="Footer Char"/>
    <w:basedOn w:val="1023"/>
    <w:link w:val="1046"/>
    <w:uiPriority w:val="99"/>
  </w:style>
  <w:style w:type="paragraph" w:styleId="875">
    <w:name w:val="Caption"/>
    <w:basedOn w:val="1018"/>
    <w:next w:val="1018"/>
    <w:link w:val="8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6">
    <w:name w:val="Caption Char"/>
    <w:basedOn w:val="1023"/>
    <w:link w:val="875"/>
    <w:uiPriority w:val="35"/>
    <w:rPr>
      <w:b/>
      <w:bCs/>
      <w:color w:val="4f81bd" w:themeColor="accent1"/>
      <w:sz w:val="18"/>
      <w:szCs w:val="18"/>
    </w:rPr>
  </w:style>
  <w:style w:type="table" w:styleId="877">
    <w:name w:val="Table Grid"/>
    <w:basedOn w:val="102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8">
    <w:name w:val="Table Grid Light"/>
    <w:basedOn w:val="10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9">
    <w:name w:val="Plain Table 1"/>
    <w:basedOn w:val="10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0">
    <w:name w:val="Plain Table 2"/>
    <w:basedOn w:val="10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1">
    <w:name w:val="Plain Table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2">
    <w:name w:val="Plain Table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Plain Table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4">
    <w:name w:val="Grid Table 1 Light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1 Light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1 Light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2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2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4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6">
    <w:name w:val="Grid Table 4 - Accent 1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7">
    <w:name w:val="Grid Table 4 - Accent 2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8">
    <w:name w:val="Grid Table 4 - Accent 3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9">
    <w:name w:val="Grid Table 4 - Accent 4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0">
    <w:name w:val="Grid Table 4 - Accent 5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1">
    <w:name w:val="Grid Table 4 - Accent 6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2">
    <w:name w:val="Grid Table 5 Dark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3">
    <w:name w:val="Grid Table 5 Dark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14">
    <w:name w:val="Grid Table 5 Dark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16">
    <w:name w:val="Grid Table 5 Dark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17">
    <w:name w:val="Grid Table 5 Dark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18">
    <w:name w:val="Grid Table 5 Dark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9">
    <w:name w:val="Grid Table 6 Colorful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0">
    <w:name w:val="Grid Table 6 Colorful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1">
    <w:name w:val="Grid Table 6 Colorful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2">
    <w:name w:val="Grid Table 6 Colorful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3">
    <w:name w:val="Grid Table 6 Colorful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4">
    <w:name w:val="Grid Table 6 Colorful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5">
    <w:name w:val="Grid Table 6 Colorful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6">
    <w:name w:val="Grid Table 7 Colorful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7 Colorful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7 Colorful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1">
    <w:name w:val="List Table 2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2">
    <w:name w:val="List Table 2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3">
    <w:name w:val="List Table 2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4">
    <w:name w:val="List Table 2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5">
    <w:name w:val="List Table 2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6">
    <w:name w:val="List Table 2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7">
    <w:name w:val="List Table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3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3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5 Dark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5 Dark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7">
    <w:name w:val="List Table 5 Dark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6 Colorful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9">
    <w:name w:val="List Table 6 Colorful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0">
    <w:name w:val="List Table 6 Colorful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1">
    <w:name w:val="List Table 6 Colorful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2">
    <w:name w:val="List Table 6 Colorful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3">
    <w:name w:val="List Table 6 Colorful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4">
    <w:name w:val="List Table 6 Colorful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5">
    <w:name w:val="List Table 7 Colorful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6">
    <w:name w:val="List Table 7 Colorful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77">
    <w:name w:val="List Table 7 Colorful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78">
    <w:name w:val="List Table 7 Colorful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79">
    <w:name w:val="List Table 7 Colorful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80">
    <w:name w:val="List Table 7 Colorful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81">
    <w:name w:val="List Table 7 Colorful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82">
    <w:name w:val="Lined - Accent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3">
    <w:name w:val="Lined - Accent 1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4">
    <w:name w:val="Lined - Accent 2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5">
    <w:name w:val="Lined - Accent 3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6">
    <w:name w:val="Lined - Accent 4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7">
    <w:name w:val="Lined - Accent 5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8">
    <w:name w:val="Lined - Accent 6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9">
    <w:name w:val="Bordered &amp; Lined - Accent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0">
    <w:name w:val="Bordered &amp; Lined - Accent 1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1">
    <w:name w:val="Bordered &amp; Lined - Accent 2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2">
    <w:name w:val="Bordered &amp; Lined - Accent 3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3">
    <w:name w:val="Bordered &amp; Lined - Accent 4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4">
    <w:name w:val="Bordered &amp; Lined - Accent 5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5">
    <w:name w:val="Bordered &amp; Lined - Accent 6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6">
    <w:name w:val="Bordered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7">
    <w:name w:val="Bordered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8">
    <w:name w:val="Bordered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9">
    <w:name w:val="Bordered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0">
    <w:name w:val="Bordered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1">
    <w:name w:val="Bordered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2">
    <w:name w:val="Bordered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3">
    <w:name w:val="Footnote Text Char"/>
    <w:link w:val="1064"/>
    <w:uiPriority w:val="99"/>
    <w:rPr>
      <w:sz w:val="18"/>
    </w:rPr>
  </w:style>
  <w:style w:type="paragraph" w:styleId="1004">
    <w:name w:val="endnote text"/>
    <w:basedOn w:val="1018"/>
    <w:link w:val="1005"/>
    <w:uiPriority w:val="99"/>
    <w:semiHidden/>
    <w:unhideWhenUsed/>
    <w:pPr>
      <w:spacing w:after="0" w:line="240" w:lineRule="auto"/>
    </w:pPr>
    <w:rPr>
      <w:sz w:val="20"/>
    </w:rPr>
  </w:style>
  <w:style w:type="character" w:styleId="1005">
    <w:name w:val="Endnote Text Char"/>
    <w:link w:val="1004"/>
    <w:uiPriority w:val="99"/>
    <w:rPr>
      <w:sz w:val="20"/>
    </w:rPr>
  </w:style>
  <w:style w:type="character" w:styleId="1006">
    <w:name w:val="endnote reference"/>
    <w:basedOn w:val="1023"/>
    <w:uiPriority w:val="99"/>
    <w:semiHidden/>
    <w:unhideWhenUsed/>
    <w:rPr>
      <w:vertAlign w:val="superscript"/>
    </w:rPr>
  </w:style>
  <w:style w:type="paragraph" w:styleId="1007">
    <w:name w:val="toc 1"/>
    <w:basedOn w:val="1018"/>
    <w:next w:val="1018"/>
    <w:uiPriority w:val="39"/>
    <w:unhideWhenUsed/>
    <w:pPr>
      <w:ind w:left="0" w:right="0" w:firstLine="0"/>
      <w:spacing w:after="57"/>
    </w:pPr>
  </w:style>
  <w:style w:type="paragraph" w:styleId="1008">
    <w:name w:val="toc 2"/>
    <w:basedOn w:val="1018"/>
    <w:next w:val="1018"/>
    <w:uiPriority w:val="39"/>
    <w:unhideWhenUsed/>
    <w:pPr>
      <w:ind w:left="283" w:right="0" w:firstLine="0"/>
      <w:spacing w:after="57"/>
    </w:pPr>
  </w:style>
  <w:style w:type="paragraph" w:styleId="1009">
    <w:name w:val="toc 3"/>
    <w:basedOn w:val="1018"/>
    <w:next w:val="1018"/>
    <w:uiPriority w:val="39"/>
    <w:unhideWhenUsed/>
    <w:pPr>
      <w:ind w:left="567" w:right="0" w:firstLine="0"/>
      <w:spacing w:after="57"/>
    </w:pPr>
  </w:style>
  <w:style w:type="paragraph" w:styleId="1010">
    <w:name w:val="toc 4"/>
    <w:basedOn w:val="1018"/>
    <w:next w:val="1018"/>
    <w:uiPriority w:val="39"/>
    <w:unhideWhenUsed/>
    <w:pPr>
      <w:ind w:left="850" w:right="0" w:firstLine="0"/>
      <w:spacing w:after="57"/>
    </w:pPr>
  </w:style>
  <w:style w:type="paragraph" w:styleId="1011">
    <w:name w:val="toc 5"/>
    <w:basedOn w:val="1018"/>
    <w:next w:val="1018"/>
    <w:uiPriority w:val="39"/>
    <w:unhideWhenUsed/>
    <w:pPr>
      <w:ind w:left="1134" w:right="0" w:firstLine="0"/>
      <w:spacing w:after="57"/>
    </w:pPr>
  </w:style>
  <w:style w:type="paragraph" w:styleId="1012">
    <w:name w:val="toc 6"/>
    <w:basedOn w:val="1018"/>
    <w:next w:val="1018"/>
    <w:uiPriority w:val="39"/>
    <w:unhideWhenUsed/>
    <w:pPr>
      <w:ind w:left="1417" w:right="0" w:firstLine="0"/>
      <w:spacing w:after="57"/>
    </w:pPr>
  </w:style>
  <w:style w:type="paragraph" w:styleId="1013">
    <w:name w:val="toc 7"/>
    <w:basedOn w:val="1018"/>
    <w:next w:val="1018"/>
    <w:uiPriority w:val="39"/>
    <w:unhideWhenUsed/>
    <w:pPr>
      <w:ind w:left="1701" w:right="0" w:firstLine="0"/>
      <w:spacing w:after="57"/>
    </w:pPr>
  </w:style>
  <w:style w:type="paragraph" w:styleId="1014">
    <w:name w:val="toc 8"/>
    <w:basedOn w:val="1018"/>
    <w:next w:val="1018"/>
    <w:uiPriority w:val="39"/>
    <w:unhideWhenUsed/>
    <w:pPr>
      <w:ind w:left="1984" w:right="0" w:firstLine="0"/>
      <w:spacing w:after="57"/>
    </w:pPr>
  </w:style>
  <w:style w:type="paragraph" w:styleId="1015">
    <w:name w:val="toc 9"/>
    <w:basedOn w:val="1018"/>
    <w:next w:val="1018"/>
    <w:uiPriority w:val="39"/>
    <w:unhideWhenUsed/>
    <w:pPr>
      <w:ind w:left="2268" w:right="0" w:firstLine="0"/>
      <w:spacing w:after="57"/>
    </w:pPr>
  </w:style>
  <w:style w:type="paragraph" w:styleId="1016">
    <w:name w:val="TOC Heading"/>
    <w:uiPriority w:val="39"/>
    <w:unhideWhenUsed/>
  </w:style>
  <w:style w:type="paragraph" w:styleId="1017">
    <w:name w:val="table of figures"/>
    <w:basedOn w:val="1018"/>
    <w:next w:val="1018"/>
    <w:uiPriority w:val="99"/>
    <w:unhideWhenUsed/>
    <w:pPr>
      <w:spacing w:after="0" w:afterAutospacing="0"/>
    </w:pPr>
  </w:style>
  <w:style w:type="paragraph" w:styleId="101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9">
    <w:name w:val="Heading 1"/>
    <w:basedOn w:val="1018"/>
    <w:next w:val="1018"/>
    <w:link w:val="1026"/>
    <w:qFormat/>
    <w:pPr>
      <w:jc w:val="center"/>
      <w:keepNext/>
      <w:outlineLvl w:val="0"/>
    </w:pPr>
    <w:rPr>
      <w:sz w:val="28"/>
    </w:rPr>
  </w:style>
  <w:style w:type="paragraph" w:styleId="1020">
    <w:name w:val="Heading 2"/>
    <w:basedOn w:val="1018"/>
    <w:next w:val="1018"/>
    <w:link w:val="1051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21">
    <w:name w:val="Heading 3"/>
    <w:basedOn w:val="1018"/>
    <w:next w:val="1018"/>
    <w:link w:val="1049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22">
    <w:name w:val="Heading 5"/>
    <w:basedOn w:val="1018"/>
    <w:next w:val="1018"/>
    <w:link w:val="1044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23" w:default="1">
    <w:name w:val="Default Paragraph Font"/>
    <w:uiPriority w:val="1"/>
    <w:semiHidden/>
    <w:unhideWhenUsed/>
  </w:style>
  <w:style w:type="table" w:styleId="10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5" w:default="1">
    <w:name w:val="No List"/>
    <w:uiPriority w:val="99"/>
    <w:semiHidden/>
    <w:unhideWhenUsed/>
  </w:style>
  <w:style w:type="character" w:styleId="1026" w:customStyle="1">
    <w:name w:val="Заголовок 1 Знак"/>
    <w:basedOn w:val="1023"/>
    <w:link w:val="1019"/>
    <w:rPr>
      <w:rFonts w:ascii="Times New Roman" w:hAnsi="Times New Roman" w:eastAsia="Times New Roman" w:cs="Times New Roman"/>
      <w:sz w:val="28"/>
      <w:szCs w:val="24"/>
    </w:rPr>
  </w:style>
  <w:style w:type="paragraph" w:styleId="1027">
    <w:name w:val="Body Text Indent"/>
    <w:basedOn w:val="1018"/>
    <w:link w:val="1028"/>
    <w:uiPriority w:val="99"/>
    <w:pPr>
      <w:ind w:left="1083" w:firstLine="537"/>
      <w:jc w:val="both"/>
      <w:tabs>
        <w:tab w:val="num" w:pos="0" w:leader="none"/>
      </w:tabs>
    </w:pPr>
  </w:style>
  <w:style w:type="character" w:styleId="1028" w:customStyle="1">
    <w:name w:val="Основной текст с отступом Знак"/>
    <w:basedOn w:val="1023"/>
    <w:link w:val="1027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29">
    <w:name w:val="Normal (Web)"/>
    <w:basedOn w:val="1018"/>
    <w:uiPriority w:val="99"/>
    <w:pPr>
      <w:spacing w:before="100" w:beforeAutospacing="1" w:after="100" w:afterAutospacing="1"/>
    </w:pPr>
  </w:style>
  <w:style w:type="paragraph" w:styleId="1030">
    <w:name w:val="Title"/>
    <w:basedOn w:val="1018"/>
    <w:link w:val="1031"/>
    <w:uiPriority w:val="10"/>
    <w:qFormat/>
    <w:pPr>
      <w:jc w:val="center"/>
    </w:pPr>
    <w:rPr>
      <w:sz w:val="28"/>
    </w:rPr>
  </w:style>
  <w:style w:type="character" w:styleId="1031" w:customStyle="1">
    <w:name w:val="Заголовок Знак"/>
    <w:basedOn w:val="1023"/>
    <w:link w:val="1030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32" w:customStyle="1">
    <w:name w:val="Подподпункт"/>
    <w:basedOn w:val="1018"/>
  </w:style>
  <w:style w:type="paragraph" w:styleId="1033">
    <w:name w:val="Plain Text"/>
    <w:basedOn w:val="1018"/>
    <w:link w:val="1034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34" w:customStyle="1">
    <w:name w:val="Текст Знак"/>
    <w:basedOn w:val="1023"/>
    <w:link w:val="1033"/>
    <w:uiPriority w:val="99"/>
    <w:rPr>
      <w:rFonts w:ascii="Consolas" w:hAnsi="Consolas" w:eastAsia="Calibri" w:cs="Times New Roman"/>
      <w:sz w:val="21"/>
      <w:szCs w:val="21"/>
    </w:rPr>
  </w:style>
  <w:style w:type="character" w:styleId="1035">
    <w:name w:val="annotation reference"/>
    <w:uiPriority w:val="99"/>
    <w:rPr>
      <w:sz w:val="16"/>
      <w:szCs w:val="16"/>
    </w:rPr>
  </w:style>
  <w:style w:type="paragraph" w:styleId="1036">
    <w:name w:val="annotation text"/>
    <w:basedOn w:val="1018"/>
    <w:link w:val="1037"/>
    <w:uiPriority w:val="99"/>
    <w:rPr>
      <w:sz w:val="20"/>
      <w:szCs w:val="20"/>
    </w:rPr>
  </w:style>
  <w:style w:type="character" w:styleId="1037" w:customStyle="1">
    <w:name w:val="Текст примечания Знак"/>
    <w:basedOn w:val="1023"/>
    <w:link w:val="103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8">
    <w:name w:val="Balloon Text"/>
    <w:basedOn w:val="1018"/>
    <w:link w:val="1039"/>
    <w:uiPriority w:val="99"/>
    <w:semiHidden/>
    <w:unhideWhenUsed/>
    <w:rPr>
      <w:rFonts w:ascii="Tahoma" w:hAnsi="Tahoma" w:cs="Tahoma"/>
      <w:sz w:val="16"/>
      <w:szCs w:val="16"/>
    </w:rPr>
  </w:style>
  <w:style w:type="character" w:styleId="1039" w:customStyle="1">
    <w:name w:val="Текст выноски Знак"/>
    <w:basedOn w:val="1023"/>
    <w:link w:val="103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40">
    <w:name w:val="annotation subject"/>
    <w:basedOn w:val="1036"/>
    <w:next w:val="1036"/>
    <w:link w:val="1041"/>
    <w:uiPriority w:val="99"/>
    <w:semiHidden/>
    <w:unhideWhenUsed/>
    <w:rPr>
      <w:b/>
      <w:bCs/>
    </w:rPr>
  </w:style>
  <w:style w:type="character" w:styleId="1041" w:customStyle="1">
    <w:name w:val="Тема примечания Знак"/>
    <w:basedOn w:val="1037"/>
    <w:link w:val="104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42">
    <w:name w:val="List Paragraph"/>
    <w:basedOn w:val="1018"/>
    <w:link w:val="1050"/>
    <w:uiPriority w:val="34"/>
    <w:qFormat/>
    <w:pPr>
      <w:contextualSpacing/>
      <w:ind w:left="720"/>
    </w:pPr>
  </w:style>
  <w:style w:type="character" w:styleId="1043">
    <w:name w:val="Hyperlink"/>
    <w:basedOn w:val="1023"/>
    <w:uiPriority w:val="99"/>
    <w:unhideWhenUsed/>
    <w:rPr>
      <w:color w:val="0000ff"/>
      <w:u w:val="single"/>
    </w:rPr>
  </w:style>
  <w:style w:type="character" w:styleId="1044" w:customStyle="1">
    <w:name w:val="Заголовок 5 Знак"/>
    <w:basedOn w:val="1023"/>
    <w:link w:val="1022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45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6">
    <w:name w:val="Footer"/>
    <w:basedOn w:val="1018"/>
    <w:link w:val="1047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47" w:customStyle="1">
    <w:name w:val="Нижний колонтитул Знак"/>
    <w:basedOn w:val="1023"/>
    <w:link w:val="1046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48">
    <w:name w:val="page number"/>
    <w:basedOn w:val="1023"/>
  </w:style>
  <w:style w:type="character" w:styleId="1049" w:customStyle="1">
    <w:name w:val="Заголовок 3 Знак"/>
    <w:basedOn w:val="1023"/>
    <w:link w:val="1021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50" w:customStyle="1">
    <w:name w:val="Абзац списка Знак"/>
    <w:basedOn w:val="1023"/>
    <w:link w:val="1042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51" w:customStyle="1">
    <w:name w:val="Заголовок 2 Знак"/>
    <w:basedOn w:val="1023"/>
    <w:link w:val="102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52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53" w:customStyle="1">
    <w:name w:val="2-з"/>
    <w:basedOn w:val="1018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54" w:customStyle="1">
    <w:name w:val="3-з"/>
    <w:link w:val="1060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55" w:customStyle="1">
    <w:name w:val="нумерация"/>
    <w:uiPriority w:val="99"/>
    <w:pPr>
      <w:numPr>
        <w:ilvl w:val="0"/>
        <w:numId w:val="26"/>
      </w:numPr>
    </w:pPr>
  </w:style>
  <w:style w:type="paragraph" w:styleId="1056" w:customStyle="1">
    <w:name w:val="4-з"/>
    <w:link w:val="1067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57" w:customStyle="1">
    <w:name w:val="5-з"/>
    <w:basedOn w:val="1018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58" w:customStyle="1">
    <w:name w:val="6-буквы"/>
    <w:basedOn w:val="1018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59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60" w:customStyle="1">
    <w:name w:val="3-з Знак"/>
    <w:basedOn w:val="1023"/>
    <w:link w:val="1054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61" w:customStyle="1">
    <w:name w:val="Абзац списка1"/>
    <w:basedOn w:val="1018"/>
    <w:link w:val="1062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62" w:customStyle="1">
    <w:name w:val="List Paragraph Char"/>
    <w:link w:val="1061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6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64">
    <w:name w:val="footnote text"/>
    <w:basedOn w:val="1018"/>
    <w:link w:val="1065"/>
    <w:uiPriority w:val="99"/>
    <w:unhideWhenUsed/>
    <w:rPr>
      <w:sz w:val="20"/>
      <w:szCs w:val="20"/>
    </w:rPr>
  </w:style>
  <w:style w:type="character" w:styleId="1065" w:customStyle="1">
    <w:name w:val="Текст сноски Знак"/>
    <w:basedOn w:val="1023"/>
    <w:link w:val="106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66">
    <w:name w:val="footnote reference"/>
    <w:basedOn w:val="1023"/>
    <w:uiPriority w:val="99"/>
    <w:unhideWhenUsed/>
    <w:rPr>
      <w:vertAlign w:val="superscript"/>
    </w:rPr>
  </w:style>
  <w:style w:type="character" w:styleId="1067" w:customStyle="1">
    <w:name w:val="4-з Знак"/>
    <w:basedOn w:val="1023"/>
    <w:link w:val="1056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D8C74-2912-47A5-9C20-426CB29E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Halikova-NV</cp:lastModifiedBy>
  <cp:revision>63</cp:revision>
  <dcterms:created xsi:type="dcterms:W3CDTF">2024-01-30T04:07:00Z</dcterms:created>
  <dcterms:modified xsi:type="dcterms:W3CDTF">2026-07-31T10:39:14Z</dcterms:modified>
</cp:coreProperties>
</file>